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6D" w:rsidRDefault="00F63F6D" w:rsidP="00AD7F00">
      <w:pPr>
        <w:jc w:val="center"/>
      </w:pPr>
      <w:r>
        <w:rPr>
          <w:noProof/>
          <w:lang w:eastAsia="pt-BR"/>
        </w:rPr>
        <w:drawing>
          <wp:inline distT="0" distB="0" distL="0" distR="0">
            <wp:extent cx="5400040" cy="1304772"/>
            <wp:effectExtent l="19050" t="0" r="0" b="0"/>
            <wp:docPr id="1" name="Imagem 2" descr="C:\Users\engenharia\Desktop\DIAMANTE DO SUL 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ngenharia\Desktop\DIAMANTE DO SUL NOVA.jpg"/>
                    <pic:cNvPicPr>
                      <a:picLocks noChangeAspect="1" noChangeArrowheads="1"/>
                    </pic:cNvPicPr>
                  </pic:nvPicPr>
                  <pic:blipFill>
                    <a:blip r:embed="rId4" cstate="print"/>
                    <a:srcRect/>
                    <a:stretch>
                      <a:fillRect/>
                    </a:stretch>
                  </pic:blipFill>
                  <pic:spPr bwMode="auto">
                    <a:xfrm>
                      <a:off x="0" y="0"/>
                      <a:ext cx="5400040" cy="1304772"/>
                    </a:xfrm>
                    <a:prstGeom prst="rect">
                      <a:avLst/>
                    </a:prstGeom>
                    <a:noFill/>
                    <a:ln w="9525">
                      <a:noFill/>
                      <a:miter lim="800000"/>
                      <a:headEnd/>
                      <a:tailEnd/>
                    </a:ln>
                  </pic:spPr>
                </pic:pic>
              </a:graphicData>
            </a:graphic>
          </wp:inline>
        </w:drawing>
      </w:r>
    </w:p>
    <w:p w:rsidR="00AD7F00" w:rsidRDefault="00F63F6D" w:rsidP="00AD7F00">
      <w:pPr>
        <w:jc w:val="center"/>
      </w:pPr>
      <w:r>
        <w:t>L</w:t>
      </w:r>
      <w:r w:rsidR="00AD7F00">
        <w:t xml:space="preserve">EI COMPLEMENTAR Nº </w:t>
      </w:r>
      <w:r>
        <w:t xml:space="preserve"> 1066/2018</w:t>
      </w:r>
    </w:p>
    <w:p w:rsidR="00AD7F00" w:rsidRDefault="00AD7F00" w:rsidP="00AD7F00">
      <w:pPr>
        <w:jc w:val="both"/>
      </w:pPr>
    </w:p>
    <w:p w:rsidR="00AD7F00" w:rsidRDefault="00AD7F00" w:rsidP="00AD7F00">
      <w:pPr>
        <w:ind w:left="3969"/>
        <w:jc w:val="both"/>
      </w:pPr>
      <w:r>
        <w:t xml:space="preserve">ALTERA DISPOSITIVOS DA LEI COMPLEMENTAR Nº 588/2011– referente a alíquotas do Imposto sobre Serviços de Qualquer Natureza – ISSQN, E DÁ OUTRAS PROVIDÊNCIAS. </w:t>
      </w:r>
    </w:p>
    <w:p w:rsidR="00AD7F00" w:rsidRDefault="00AD7F00" w:rsidP="00AD7F00">
      <w:pPr>
        <w:jc w:val="both"/>
      </w:pPr>
    </w:p>
    <w:p w:rsidR="00AD7F00" w:rsidRDefault="00AD7F00" w:rsidP="00AD7F00">
      <w:pPr>
        <w:jc w:val="both"/>
      </w:pPr>
      <w:r>
        <w:rPr>
          <w:b/>
        </w:rPr>
        <w:t>F</w:t>
      </w:r>
      <w:r w:rsidRPr="00AD7F00">
        <w:rPr>
          <w:b/>
        </w:rPr>
        <w:t>ERNANDO MAXIMILIANO RISSO</w:t>
      </w:r>
      <w:r w:rsidRPr="00AD7F00">
        <w:t xml:space="preserve">, </w:t>
      </w:r>
      <w:r>
        <w:t>Prefeito do Município de Diamante do Sul, PR, Estado de Paraná, usando das atribuições que lhe são conferidas por Lei, FAZ SABER que a Câmara de Vereadores de Diamante do Sul, PR, aprovou e ele promulgou e sancionou a seguinte Lei Complementar.</w:t>
      </w:r>
    </w:p>
    <w:p w:rsidR="00AD7F00" w:rsidRDefault="00AD7F00" w:rsidP="00AD7F00">
      <w:pPr>
        <w:jc w:val="both"/>
      </w:pPr>
    </w:p>
    <w:p w:rsidR="00B822FF" w:rsidRDefault="00AD7F00" w:rsidP="00AD7F00">
      <w:pPr>
        <w:jc w:val="both"/>
      </w:pPr>
      <w:r w:rsidRPr="00B822FF">
        <w:rPr>
          <w:b/>
        </w:rPr>
        <w:t>Art. 1º</w:t>
      </w:r>
      <w:r>
        <w:t xml:space="preserve"> Os subitens 1.03, 1.04, 7.16, 11.02, 13.05, 14.05, 16.01 e 25.02 da Lista de </w:t>
      </w:r>
      <w:r w:rsidR="00B822FF">
        <w:t xml:space="preserve">Serviços instituída pelo anexo I </w:t>
      </w:r>
      <w:r>
        <w:t xml:space="preserve">da Lei Complementar nº </w:t>
      </w:r>
      <w:r w:rsidR="00B822FF">
        <w:t>588/2011</w:t>
      </w:r>
      <w:r>
        <w:t xml:space="preserve">, passam a ter as seguintes redações: </w:t>
      </w:r>
    </w:p>
    <w:p w:rsidR="0011608E" w:rsidRDefault="0011608E" w:rsidP="00B822FF">
      <w:pPr>
        <w:ind w:left="1134"/>
        <w:jc w:val="both"/>
      </w:pPr>
    </w:p>
    <w:p w:rsidR="00B822FF" w:rsidRDefault="00AD7F00" w:rsidP="00B822FF">
      <w:pPr>
        <w:ind w:left="1134"/>
        <w:jc w:val="both"/>
      </w:pPr>
      <w:r w:rsidRPr="0011608E">
        <w:rPr>
          <w:b/>
        </w:rPr>
        <w:t>1.03</w:t>
      </w:r>
      <w:r>
        <w:t xml:space="preserve"> – Processamento, armazenamento ou hospedagem de dados, textos, imagens, vídeos, páginas eletrônicas, aplicativos e sistemas de informação, entre outros formatos, e congêneres. 1.04 – Elaboração de programas de computadores, inclusive de jogos eletrônicos, independentemente da arquitetura construtiva da máquina em que o programa será executado, incluindo tablets, smartphones e congêneres. </w:t>
      </w:r>
    </w:p>
    <w:p w:rsidR="00B822FF" w:rsidRDefault="00AD7F00" w:rsidP="00B822FF">
      <w:pPr>
        <w:ind w:left="1134"/>
        <w:jc w:val="both"/>
      </w:pPr>
      <w:r w:rsidRPr="0011608E">
        <w:rPr>
          <w:b/>
        </w:rPr>
        <w:t>7.16</w:t>
      </w:r>
      <w:r>
        <w:t xml:space="preserve"> – 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 </w:t>
      </w:r>
    </w:p>
    <w:p w:rsidR="00B822FF" w:rsidRDefault="00AD7F00" w:rsidP="00B822FF">
      <w:pPr>
        <w:ind w:left="1134"/>
        <w:jc w:val="both"/>
      </w:pPr>
      <w:r w:rsidRPr="0011608E">
        <w:rPr>
          <w:b/>
        </w:rPr>
        <w:t>11.02</w:t>
      </w:r>
      <w:r>
        <w:t xml:space="preserve"> – Vigilância, segurança ou monitoramento de bens, pessoas e semoventes. </w:t>
      </w:r>
    </w:p>
    <w:p w:rsidR="00B822FF" w:rsidRDefault="00AD7F00" w:rsidP="00B822FF">
      <w:pPr>
        <w:ind w:left="1134"/>
        <w:jc w:val="both"/>
      </w:pPr>
      <w:r w:rsidRPr="0011608E">
        <w:rPr>
          <w:b/>
        </w:rPr>
        <w:t>13.05</w:t>
      </w:r>
      <w:r>
        <w:t xml:space="preserve"> – 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 </w:t>
      </w:r>
    </w:p>
    <w:p w:rsidR="00F63F6D" w:rsidRDefault="00F63F6D" w:rsidP="00B822FF">
      <w:pPr>
        <w:ind w:left="1134"/>
        <w:jc w:val="both"/>
      </w:pPr>
    </w:p>
    <w:p w:rsidR="00F63F6D" w:rsidRDefault="00F63F6D" w:rsidP="00B822FF">
      <w:pPr>
        <w:ind w:left="1134"/>
        <w:jc w:val="both"/>
      </w:pPr>
      <w:r>
        <w:rPr>
          <w:noProof/>
          <w:lang w:eastAsia="pt-BR"/>
        </w:rPr>
        <w:lastRenderedPageBreak/>
        <w:drawing>
          <wp:inline distT="0" distB="0" distL="0" distR="0">
            <wp:extent cx="5400040" cy="1304772"/>
            <wp:effectExtent l="19050" t="0" r="0" b="0"/>
            <wp:docPr id="4" name="Imagem 2" descr="C:\Users\engenharia\Desktop\DIAMANTE DO SUL 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ngenharia\Desktop\DIAMANTE DO SUL NOVA.jpg"/>
                    <pic:cNvPicPr>
                      <a:picLocks noChangeAspect="1" noChangeArrowheads="1"/>
                    </pic:cNvPicPr>
                  </pic:nvPicPr>
                  <pic:blipFill>
                    <a:blip r:embed="rId4" cstate="print"/>
                    <a:srcRect/>
                    <a:stretch>
                      <a:fillRect/>
                    </a:stretch>
                  </pic:blipFill>
                  <pic:spPr bwMode="auto">
                    <a:xfrm>
                      <a:off x="0" y="0"/>
                      <a:ext cx="5400040" cy="1304772"/>
                    </a:xfrm>
                    <a:prstGeom prst="rect">
                      <a:avLst/>
                    </a:prstGeom>
                    <a:noFill/>
                    <a:ln w="9525">
                      <a:noFill/>
                      <a:miter lim="800000"/>
                      <a:headEnd/>
                      <a:tailEnd/>
                    </a:ln>
                  </pic:spPr>
                </pic:pic>
              </a:graphicData>
            </a:graphic>
          </wp:inline>
        </w:drawing>
      </w:r>
    </w:p>
    <w:p w:rsidR="00F63F6D" w:rsidRDefault="00F63F6D" w:rsidP="00B822FF">
      <w:pPr>
        <w:ind w:left="1134"/>
        <w:jc w:val="both"/>
        <w:rPr>
          <w:b/>
        </w:rPr>
      </w:pPr>
    </w:p>
    <w:p w:rsidR="00B822FF" w:rsidRDefault="00AD7F00" w:rsidP="00B822FF">
      <w:pPr>
        <w:ind w:left="1134"/>
        <w:jc w:val="both"/>
      </w:pPr>
      <w:r w:rsidRPr="0011608E">
        <w:rPr>
          <w:b/>
        </w:rPr>
        <w:t>14.05</w:t>
      </w:r>
      <w:r>
        <w:t xml:space="preserve"> – Restauração, recondicionamento, acondicionamento, pintura, beneficiamento, lavagem, secagem, tingimento, galvanoplastia, anodização, corte, recorte, plastificação, costura, acabamento, polimento e congêneres de objetos quaisquer. </w:t>
      </w:r>
    </w:p>
    <w:p w:rsidR="00B822FF" w:rsidRDefault="00AD7F00" w:rsidP="00B822FF">
      <w:pPr>
        <w:ind w:left="1134"/>
        <w:jc w:val="both"/>
      </w:pPr>
      <w:r w:rsidRPr="0011608E">
        <w:rPr>
          <w:b/>
        </w:rPr>
        <w:t>16.01</w:t>
      </w:r>
      <w:r>
        <w:t xml:space="preserve"> – Serviços de transporte coletivo municipal rodoviário, metroviário, ferroviário e aquaviário de passageiros. </w:t>
      </w:r>
    </w:p>
    <w:p w:rsidR="00B822FF" w:rsidRDefault="00AD7F00" w:rsidP="00B822FF">
      <w:pPr>
        <w:ind w:left="1134"/>
        <w:jc w:val="both"/>
      </w:pPr>
      <w:r w:rsidRPr="0011608E">
        <w:rPr>
          <w:b/>
        </w:rPr>
        <w:t>25.02</w:t>
      </w:r>
      <w:r>
        <w:t xml:space="preserve"> – Translado intramunicipal e cremação de corpos e partes de corpos cadavéricos. </w:t>
      </w:r>
    </w:p>
    <w:p w:rsidR="0011608E" w:rsidRDefault="0011608E" w:rsidP="00AD7F00">
      <w:pPr>
        <w:jc w:val="both"/>
        <w:rPr>
          <w:b/>
        </w:rPr>
      </w:pPr>
    </w:p>
    <w:p w:rsidR="00B822FF" w:rsidRDefault="00AD7F00" w:rsidP="00AD7F00">
      <w:pPr>
        <w:jc w:val="both"/>
      </w:pPr>
      <w:r w:rsidRPr="0011608E">
        <w:rPr>
          <w:b/>
        </w:rPr>
        <w:t>Art. 2º</w:t>
      </w:r>
      <w:r>
        <w:t xml:space="preserve"> A Lista de Serviços instituída </w:t>
      </w:r>
      <w:r w:rsidR="00B822FF">
        <w:t>pelo anexo I</w:t>
      </w:r>
      <w:r>
        <w:t xml:space="preserve"> da Lei Complementar nº </w:t>
      </w:r>
      <w:r w:rsidR="00B822FF">
        <w:t>588/2011</w:t>
      </w:r>
      <w:r>
        <w:t xml:space="preserve">, fica acrescida dos subitens 1.09, 6.06, 14.14, 16.02, 17.25 e 25.05, a viger com as seguintes redações: </w:t>
      </w:r>
    </w:p>
    <w:p w:rsidR="0011608E" w:rsidRDefault="0011608E" w:rsidP="00AD7F00">
      <w:pPr>
        <w:jc w:val="both"/>
      </w:pPr>
    </w:p>
    <w:p w:rsidR="00B822FF" w:rsidRDefault="00AD7F00" w:rsidP="00680BFB">
      <w:pPr>
        <w:ind w:left="1134"/>
        <w:jc w:val="both"/>
      </w:pPr>
      <w:r w:rsidRPr="0011608E">
        <w:rPr>
          <w:b/>
        </w:rPr>
        <w:t>1.09</w:t>
      </w:r>
      <w:r>
        <w:t xml:space="preserve"> – Disponibilização, sem cessão definitiva, de conteúdos de áudio, vídeo, imagem e texto por meio da internet, respeitada a imunidade de livros, jornais e periódicos (exceto a distribuição de conteúdos pelas prestadores de Serviços de Acesso Condicionado, de que trata a Lei nº 12.485, de 12 de setembro de 2011, sujeita ao ICMS). </w:t>
      </w:r>
    </w:p>
    <w:p w:rsidR="00B822FF" w:rsidRDefault="00AD7F00" w:rsidP="00680BFB">
      <w:pPr>
        <w:ind w:left="1134"/>
        <w:jc w:val="both"/>
      </w:pPr>
      <w:r w:rsidRPr="0011608E">
        <w:rPr>
          <w:b/>
        </w:rPr>
        <w:t>6.06</w:t>
      </w:r>
      <w:r>
        <w:t xml:space="preserve"> – Aplicação de tatuagens, piercings e congêneres. </w:t>
      </w:r>
    </w:p>
    <w:p w:rsidR="00680BFB" w:rsidRDefault="00AD7F00" w:rsidP="00680BFB">
      <w:pPr>
        <w:ind w:left="1134"/>
        <w:jc w:val="both"/>
      </w:pPr>
      <w:r w:rsidRPr="0011608E">
        <w:rPr>
          <w:b/>
        </w:rPr>
        <w:t>14.14</w:t>
      </w:r>
      <w:r>
        <w:t xml:space="preserve"> – Guincho intramunicipal, guindaste e içamento.</w:t>
      </w:r>
    </w:p>
    <w:p w:rsidR="00680BFB" w:rsidRDefault="00AD7F00" w:rsidP="00680BFB">
      <w:pPr>
        <w:ind w:left="1134"/>
        <w:jc w:val="both"/>
      </w:pPr>
      <w:r w:rsidRPr="0011608E">
        <w:rPr>
          <w:b/>
        </w:rPr>
        <w:t>16.02</w:t>
      </w:r>
      <w:r>
        <w:t xml:space="preserve"> – Outros serviços de transporte de natureza municipal. </w:t>
      </w:r>
    </w:p>
    <w:p w:rsidR="00680BFB" w:rsidRDefault="00AD7F00" w:rsidP="00680BFB">
      <w:pPr>
        <w:ind w:left="1134"/>
        <w:jc w:val="both"/>
      </w:pPr>
      <w:r w:rsidRPr="0011608E">
        <w:rPr>
          <w:b/>
        </w:rPr>
        <w:t>17.25</w:t>
      </w:r>
      <w:r>
        <w:t xml:space="preserve"> – Inserção de textos, desenhos e outros materiais de propaganda e publicidade, em qualquer meio (exceto em livros, jornais, periódicos e nas modalidades de serviços de radiodifusão sonora e de sons e imagens de recepção livre e gratuita</w:t>
      </w:r>
      <w:r w:rsidR="0080154F">
        <w:t>)</w:t>
      </w:r>
      <w:r>
        <w:t>.</w:t>
      </w:r>
    </w:p>
    <w:p w:rsidR="00680BFB" w:rsidRDefault="00AD7F00" w:rsidP="00680BFB">
      <w:pPr>
        <w:ind w:left="1134"/>
        <w:jc w:val="both"/>
      </w:pPr>
      <w:r w:rsidRPr="0011608E">
        <w:rPr>
          <w:b/>
        </w:rPr>
        <w:t xml:space="preserve"> 25.05</w:t>
      </w:r>
      <w:r>
        <w:t xml:space="preserve"> – Cessão de uso de espaços em cemitérios para sepultamento. </w:t>
      </w:r>
    </w:p>
    <w:p w:rsidR="00680BFB" w:rsidRDefault="00680BFB" w:rsidP="00AD7F00">
      <w:pPr>
        <w:jc w:val="both"/>
      </w:pPr>
    </w:p>
    <w:p w:rsidR="00680BFB" w:rsidRDefault="00AD7F00" w:rsidP="00AD7F00">
      <w:pPr>
        <w:jc w:val="both"/>
      </w:pPr>
      <w:r w:rsidRPr="0011608E">
        <w:rPr>
          <w:b/>
        </w:rPr>
        <w:t>Art. 3º</w:t>
      </w:r>
      <w:r>
        <w:t xml:space="preserve"> O artigo </w:t>
      </w:r>
      <w:r w:rsidR="00680BFB">
        <w:t>2º</w:t>
      </w:r>
      <w:r>
        <w:t xml:space="preserve"> da Lei Complementar nº </w:t>
      </w:r>
      <w:r w:rsidR="00680BFB">
        <w:t>588/2011</w:t>
      </w:r>
      <w:r>
        <w:t xml:space="preserve">, passa a viger com as seguintes alterações: </w:t>
      </w:r>
    </w:p>
    <w:p w:rsidR="00F63F6D" w:rsidRDefault="00F63F6D" w:rsidP="00AD7F00">
      <w:pPr>
        <w:jc w:val="both"/>
      </w:pPr>
    </w:p>
    <w:p w:rsidR="00F63F6D" w:rsidRDefault="00F63F6D" w:rsidP="00AD7F00">
      <w:pPr>
        <w:jc w:val="both"/>
      </w:pPr>
      <w:r>
        <w:rPr>
          <w:noProof/>
          <w:lang w:eastAsia="pt-BR"/>
        </w:rPr>
        <w:lastRenderedPageBreak/>
        <w:drawing>
          <wp:inline distT="0" distB="0" distL="0" distR="0">
            <wp:extent cx="5400040" cy="1304772"/>
            <wp:effectExtent l="19050" t="0" r="0" b="0"/>
            <wp:docPr id="7" name="Imagem 2" descr="C:\Users\engenharia\Desktop\DIAMANTE DO SUL 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ngenharia\Desktop\DIAMANTE DO SUL NOVA.jpg"/>
                    <pic:cNvPicPr>
                      <a:picLocks noChangeAspect="1" noChangeArrowheads="1"/>
                    </pic:cNvPicPr>
                  </pic:nvPicPr>
                  <pic:blipFill>
                    <a:blip r:embed="rId4" cstate="print"/>
                    <a:srcRect/>
                    <a:stretch>
                      <a:fillRect/>
                    </a:stretch>
                  </pic:blipFill>
                  <pic:spPr bwMode="auto">
                    <a:xfrm>
                      <a:off x="0" y="0"/>
                      <a:ext cx="5400040" cy="1304772"/>
                    </a:xfrm>
                    <a:prstGeom prst="rect">
                      <a:avLst/>
                    </a:prstGeom>
                    <a:noFill/>
                    <a:ln w="9525">
                      <a:noFill/>
                      <a:miter lim="800000"/>
                      <a:headEnd/>
                      <a:tailEnd/>
                    </a:ln>
                  </pic:spPr>
                </pic:pic>
              </a:graphicData>
            </a:graphic>
          </wp:inline>
        </w:drawing>
      </w:r>
    </w:p>
    <w:p w:rsidR="0011608E" w:rsidRDefault="0011608E" w:rsidP="00AD7F00">
      <w:pPr>
        <w:jc w:val="both"/>
      </w:pPr>
    </w:p>
    <w:p w:rsidR="00680BFB" w:rsidRDefault="00680BFB" w:rsidP="00680BFB">
      <w:pPr>
        <w:ind w:left="1134"/>
        <w:jc w:val="both"/>
      </w:pPr>
      <w:r w:rsidRPr="0011608E">
        <w:rPr>
          <w:b/>
        </w:rPr>
        <w:t>Art.  2º</w:t>
      </w:r>
      <w:r w:rsidR="00AD7F00" w:rsidRPr="0011608E">
        <w:rPr>
          <w:b/>
        </w:rPr>
        <w:t>.</w:t>
      </w:r>
      <w:r w:rsidR="00AD7F00">
        <w:t xml:space="preserve"> O serviço considera-se prestado e o imposto devido no local do estabelecimento prestador ou, na falta do estabelecimento, no local do domicilio do prestador, exceto nas hipóteses previstas nos incisos I ao XX</w:t>
      </w:r>
      <w:r>
        <w:t>III</w:t>
      </w:r>
      <w:r w:rsidR="00AD7F00">
        <w:t>, quando o imposto será devido no local:</w:t>
      </w:r>
    </w:p>
    <w:p w:rsidR="00680BFB" w:rsidRDefault="00AD7F00" w:rsidP="00680BFB">
      <w:pPr>
        <w:ind w:left="1134"/>
        <w:jc w:val="both"/>
      </w:pPr>
      <w:r>
        <w:t xml:space="preserve">[...]     </w:t>
      </w:r>
    </w:p>
    <w:p w:rsidR="00680BFB" w:rsidRDefault="00AD7F00" w:rsidP="00680BFB">
      <w:pPr>
        <w:ind w:left="1134"/>
        <w:jc w:val="both"/>
      </w:pPr>
      <w:r w:rsidRPr="0011608E">
        <w:rPr>
          <w:b/>
        </w:rPr>
        <w:t xml:space="preserve">X </w:t>
      </w:r>
      <w:r>
        <w:t xml:space="preserve">- do florestamento, reflorestamento, semeadura, adubação, reparação de solo, plantio, silagem, colheita, corte, descascamento de árvores, silvicultura, exploração florestal e serviços congêneres indissociáveis da formação, manutenção e colheita de florestas para quaisquer fins e por quaisquer meios; </w:t>
      </w:r>
    </w:p>
    <w:p w:rsidR="00680BFB" w:rsidRDefault="00AD7F00" w:rsidP="00680BFB">
      <w:pPr>
        <w:ind w:left="1134"/>
        <w:jc w:val="both"/>
      </w:pPr>
      <w:r>
        <w:t xml:space="preserve">[...] </w:t>
      </w:r>
    </w:p>
    <w:p w:rsidR="00680BFB" w:rsidRDefault="00680BFB" w:rsidP="00680BFB">
      <w:pPr>
        <w:ind w:left="1134"/>
        <w:jc w:val="both"/>
      </w:pPr>
      <w:r w:rsidRPr="0011608E">
        <w:rPr>
          <w:b/>
        </w:rPr>
        <w:t>X</w:t>
      </w:r>
      <w:r w:rsidR="00AD7F00" w:rsidRPr="0011608E">
        <w:rPr>
          <w:b/>
        </w:rPr>
        <w:t>I</w:t>
      </w:r>
      <w:r w:rsidRPr="0011608E">
        <w:rPr>
          <w:b/>
        </w:rPr>
        <w:t>V</w:t>
      </w:r>
      <w:r w:rsidR="00AD7F00" w:rsidRPr="0011608E">
        <w:rPr>
          <w:b/>
        </w:rPr>
        <w:t xml:space="preserve"> </w:t>
      </w:r>
      <w:r w:rsidR="00AD7F00">
        <w:t xml:space="preserve">- dos bens, dos semoventes ou do domicílio das pessoas vigiados, segurados ou monitorados, no caso dos serviços descritos no subitem 11.02 da lista de serviços; </w:t>
      </w:r>
    </w:p>
    <w:p w:rsidR="00680BFB" w:rsidRDefault="00AD7F00" w:rsidP="00680BFB">
      <w:pPr>
        <w:ind w:left="1134"/>
        <w:jc w:val="both"/>
      </w:pPr>
      <w:r>
        <w:t xml:space="preserve">[...] </w:t>
      </w:r>
    </w:p>
    <w:p w:rsidR="00680BFB" w:rsidRDefault="00680BFB" w:rsidP="00680BFB">
      <w:pPr>
        <w:ind w:left="1134"/>
        <w:jc w:val="both"/>
      </w:pPr>
      <w:r w:rsidRPr="0011608E">
        <w:rPr>
          <w:b/>
        </w:rPr>
        <w:t>XVII</w:t>
      </w:r>
      <w:r w:rsidR="00AD7F00">
        <w:t xml:space="preserve"> - do Município onde está sendo executado o transporte, no caso dos serviços descritos pelo item 16</w:t>
      </w:r>
      <w:r>
        <w:t>.01</w:t>
      </w:r>
      <w:r w:rsidR="00AD7F00">
        <w:t xml:space="preserve"> da lista de serviços </w:t>
      </w:r>
    </w:p>
    <w:p w:rsidR="00680BFB" w:rsidRDefault="00AD7F00" w:rsidP="00680BFB">
      <w:pPr>
        <w:ind w:left="1134"/>
        <w:jc w:val="both"/>
      </w:pPr>
      <w:r>
        <w:t xml:space="preserve">[...] </w:t>
      </w:r>
    </w:p>
    <w:p w:rsidR="00680BFB" w:rsidRDefault="00680BFB" w:rsidP="00680BFB">
      <w:pPr>
        <w:ind w:left="1134"/>
        <w:jc w:val="both"/>
      </w:pPr>
      <w:r w:rsidRPr="0011608E">
        <w:rPr>
          <w:b/>
        </w:rPr>
        <w:t>XX</w:t>
      </w:r>
      <w:r w:rsidR="00AD7F00" w:rsidRPr="0011608E">
        <w:rPr>
          <w:b/>
        </w:rPr>
        <w:t>I -</w:t>
      </w:r>
      <w:r w:rsidR="00AD7F00">
        <w:t xml:space="preserve"> do domicílio do tomador dos serviços dos subitens 4.22, 4.23 e 5.09; </w:t>
      </w:r>
    </w:p>
    <w:p w:rsidR="00680BFB" w:rsidRDefault="00680BFB" w:rsidP="00680BFB">
      <w:pPr>
        <w:ind w:left="1134"/>
        <w:jc w:val="both"/>
      </w:pPr>
      <w:r w:rsidRPr="0011608E">
        <w:rPr>
          <w:b/>
        </w:rPr>
        <w:t>XXII</w:t>
      </w:r>
      <w:r w:rsidR="00AD7F00">
        <w:t xml:space="preserve"> - do domicílio do tomador do serviço no caso dos serviços prestados pelas administradoras de cartão de crédito ou débito e demais descritos no subitem 15.01 da lista de serviços; </w:t>
      </w:r>
    </w:p>
    <w:p w:rsidR="00680BFB" w:rsidRDefault="00680BFB" w:rsidP="00680BFB">
      <w:pPr>
        <w:ind w:left="1134"/>
        <w:jc w:val="both"/>
      </w:pPr>
      <w:r w:rsidRPr="0011608E">
        <w:rPr>
          <w:b/>
        </w:rPr>
        <w:t>XXIII</w:t>
      </w:r>
      <w:r w:rsidR="00AD7F00">
        <w:t xml:space="preserve"> - do domicílio do tomador dos serviços dos subitens 10.04 e 15.09 da lista de serviços. </w:t>
      </w:r>
    </w:p>
    <w:p w:rsidR="00680BFB" w:rsidRDefault="00680BFB" w:rsidP="00680BFB">
      <w:pPr>
        <w:jc w:val="both"/>
      </w:pPr>
    </w:p>
    <w:p w:rsidR="00F63F6D" w:rsidRDefault="00F63F6D" w:rsidP="00680BFB">
      <w:pPr>
        <w:jc w:val="both"/>
      </w:pPr>
    </w:p>
    <w:p w:rsidR="00F63F6D" w:rsidRDefault="00F63F6D" w:rsidP="00680BFB">
      <w:pPr>
        <w:jc w:val="both"/>
      </w:pPr>
    </w:p>
    <w:p w:rsidR="00F63F6D" w:rsidRDefault="00F63F6D" w:rsidP="00680BFB">
      <w:pPr>
        <w:jc w:val="both"/>
      </w:pPr>
    </w:p>
    <w:p w:rsidR="00F63F6D" w:rsidRDefault="00F63F6D" w:rsidP="00680BFB">
      <w:pPr>
        <w:jc w:val="both"/>
      </w:pPr>
    </w:p>
    <w:p w:rsidR="00F63F6D" w:rsidRDefault="00F63F6D" w:rsidP="00680BFB">
      <w:pPr>
        <w:jc w:val="both"/>
      </w:pPr>
    </w:p>
    <w:p w:rsidR="00F63F6D" w:rsidRDefault="00F63F6D" w:rsidP="00680BFB">
      <w:pPr>
        <w:jc w:val="both"/>
      </w:pPr>
      <w:r>
        <w:rPr>
          <w:noProof/>
          <w:lang w:eastAsia="pt-BR"/>
        </w:rPr>
        <w:lastRenderedPageBreak/>
        <w:drawing>
          <wp:inline distT="0" distB="0" distL="0" distR="0">
            <wp:extent cx="5400040" cy="1308581"/>
            <wp:effectExtent l="19050" t="0" r="0" b="0"/>
            <wp:docPr id="10" name="Imagem 2" descr="C:\Users\engenharia\Desktop\DIAMANTE DO SUL 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ngenharia\Desktop\DIAMANTE DO SUL NOVA.jpg"/>
                    <pic:cNvPicPr>
                      <a:picLocks noChangeAspect="1" noChangeArrowheads="1"/>
                    </pic:cNvPicPr>
                  </pic:nvPicPr>
                  <pic:blipFill>
                    <a:blip r:embed="rId5" cstate="print"/>
                    <a:srcRect/>
                    <a:stretch>
                      <a:fillRect/>
                    </a:stretch>
                  </pic:blipFill>
                  <pic:spPr bwMode="auto">
                    <a:xfrm>
                      <a:off x="0" y="0"/>
                      <a:ext cx="5400040" cy="1308581"/>
                    </a:xfrm>
                    <a:prstGeom prst="rect">
                      <a:avLst/>
                    </a:prstGeom>
                    <a:noFill/>
                    <a:ln w="9525">
                      <a:noFill/>
                      <a:miter lim="800000"/>
                      <a:headEnd/>
                      <a:tailEnd/>
                    </a:ln>
                  </pic:spPr>
                </pic:pic>
              </a:graphicData>
            </a:graphic>
          </wp:inline>
        </w:drawing>
      </w:r>
    </w:p>
    <w:p w:rsidR="00A56C3F" w:rsidRDefault="00AD7F00" w:rsidP="00680BFB">
      <w:pPr>
        <w:jc w:val="both"/>
      </w:pPr>
      <w:r w:rsidRPr="0011608E">
        <w:rPr>
          <w:b/>
        </w:rPr>
        <w:t>Art. 4º</w:t>
      </w:r>
      <w:r>
        <w:t xml:space="preserve"> Os subitens</w:t>
      </w:r>
      <w:r w:rsidR="00445C74">
        <w:t xml:space="preserve"> objeto das alterações da presente Lei e incluídos n</w:t>
      </w:r>
      <w:r>
        <w:t xml:space="preserve">a Lista de Serviços instituída </w:t>
      </w:r>
      <w:r w:rsidR="00680BFB">
        <w:t>pelo Anexo I</w:t>
      </w:r>
      <w:r>
        <w:t xml:space="preserve"> da Lei Complementar nº </w:t>
      </w:r>
      <w:r w:rsidR="00680BFB">
        <w:t>588/2011</w:t>
      </w:r>
      <w:r>
        <w:t>, passam a viger com as seguintes alíquotas:</w:t>
      </w:r>
    </w:p>
    <w:p w:rsidR="0080154F" w:rsidRDefault="0080154F" w:rsidP="00680BFB">
      <w:pPr>
        <w:jc w:val="both"/>
      </w:pPr>
    </w:p>
    <w:tbl>
      <w:tblPr>
        <w:tblW w:w="5100" w:type="dxa"/>
        <w:tblInd w:w="1697" w:type="dxa"/>
        <w:tblCellMar>
          <w:left w:w="70" w:type="dxa"/>
          <w:right w:w="70" w:type="dxa"/>
        </w:tblCellMar>
        <w:tblLook w:val="04A0"/>
      </w:tblPr>
      <w:tblGrid>
        <w:gridCol w:w="960"/>
        <w:gridCol w:w="1600"/>
        <w:gridCol w:w="2540"/>
      </w:tblGrid>
      <w:tr w:rsidR="0080154F" w:rsidRPr="0080154F" w:rsidTr="0080154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rPr>
                <w:rFonts w:ascii="Calibri" w:eastAsia="Times New Roman" w:hAnsi="Calibri" w:cs="Calibri"/>
                <w:color w:val="000000"/>
                <w:lang w:eastAsia="pt-BR"/>
              </w:rPr>
            </w:pPr>
            <w:r w:rsidRPr="0080154F">
              <w:rPr>
                <w:rFonts w:ascii="Calibri" w:eastAsia="Times New Roman" w:hAnsi="Calibri" w:cs="Calibri"/>
                <w:color w:val="000000"/>
                <w:lang w:eastAsia="pt-BR"/>
              </w:rPr>
              <w:t>Itens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Alíquota mensal</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Alíquota fixa anual (UFM)</w:t>
            </w:r>
          </w:p>
        </w:tc>
      </w:tr>
      <w:tr w:rsidR="0080154F" w:rsidRPr="0080154F" w:rsidTr="008015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rPr>
                <w:rFonts w:ascii="Calibri" w:eastAsia="Times New Roman" w:hAnsi="Calibri" w:cs="Calibri"/>
                <w:color w:val="000000"/>
                <w:lang w:eastAsia="pt-BR"/>
              </w:rPr>
            </w:pPr>
            <w:r w:rsidRPr="0080154F">
              <w:rPr>
                <w:rFonts w:ascii="Calibri" w:eastAsia="Times New Roman" w:hAnsi="Calibri" w:cs="Calibri"/>
                <w:color w:val="000000"/>
                <w:lang w:eastAsia="pt-BR"/>
              </w:rPr>
              <w:t>1.03</w:t>
            </w:r>
          </w:p>
        </w:tc>
        <w:tc>
          <w:tcPr>
            <w:tcW w:w="160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3%</w:t>
            </w:r>
          </w:p>
        </w:tc>
        <w:tc>
          <w:tcPr>
            <w:tcW w:w="254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10</w:t>
            </w:r>
          </w:p>
        </w:tc>
      </w:tr>
      <w:tr w:rsidR="0080154F" w:rsidRPr="0080154F" w:rsidTr="008015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rPr>
                <w:rFonts w:ascii="Calibri" w:eastAsia="Times New Roman" w:hAnsi="Calibri" w:cs="Calibri"/>
                <w:color w:val="000000"/>
                <w:lang w:eastAsia="pt-BR"/>
              </w:rPr>
            </w:pPr>
            <w:r w:rsidRPr="0080154F">
              <w:rPr>
                <w:rFonts w:ascii="Calibri" w:eastAsia="Times New Roman" w:hAnsi="Calibri" w:cs="Calibri"/>
                <w:color w:val="000000"/>
                <w:lang w:eastAsia="pt-BR"/>
              </w:rPr>
              <w:t>1.04</w:t>
            </w:r>
          </w:p>
        </w:tc>
        <w:tc>
          <w:tcPr>
            <w:tcW w:w="160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3%</w:t>
            </w:r>
          </w:p>
        </w:tc>
        <w:tc>
          <w:tcPr>
            <w:tcW w:w="254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10</w:t>
            </w:r>
          </w:p>
        </w:tc>
      </w:tr>
      <w:tr w:rsidR="0080154F" w:rsidRPr="0080154F" w:rsidTr="008015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rPr>
                <w:rFonts w:ascii="Calibri" w:eastAsia="Times New Roman" w:hAnsi="Calibri" w:cs="Calibri"/>
                <w:color w:val="000000"/>
                <w:lang w:eastAsia="pt-BR"/>
              </w:rPr>
            </w:pPr>
            <w:r w:rsidRPr="0080154F">
              <w:rPr>
                <w:rFonts w:ascii="Calibri" w:eastAsia="Times New Roman" w:hAnsi="Calibri" w:cs="Calibri"/>
                <w:color w:val="000000"/>
                <w:lang w:eastAsia="pt-BR"/>
              </w:rPr>
              <w:t>1.09</w:t>
            </w:r>
          </w:p>
        </w:tc>
        <w:tc>
          <w:tcPr>
            <w:tcW w:w="160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3%</w:t>
            </w:r>
          </w:p>
        </w:tc>
        <w:tc>
          <w:tcPr>
            <w:tcW w:w="254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10</w:t>
            </w:r>
          </w:p>
        </w:tc>
      </w:tr>
      <w:tr w:rsidR="0080154F" w:rsidRPr="0080154F" w:rsidTr="008015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rPr>
                <w:rFonts w:ascii="Calibri" w:eastAsia="Times New Roman" w:hAnsi="Calibri" w:cs="Calibri"/>
                <w:color w:val="000000"/>
                <w:lang w:eastAsia="pt-BR"/>
              </w:rPr>
            </w:pPr>
            <w:r w:rsidRPr="0080154F">
              <w:rPr>
                <w:rFonts w:ascii="Calibri" w:eastAsia="Times New Roman" w:hAnsi="Calibri" w:cs="Calibri"/>
                <w:color w:val="000000"/>
                <w:lang w:eastAsia="pt-BR"/>
              </w:rPr>
              <w:t>6.06</w:t>
            </w:r>
          </w:p>
        </w:tc>
        <w:tc>
          <w:tcPr>
            <w:tcW w:w="160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3%</w:t>
            </w:r>
          </w:p>
        </w:tc>
        <w:tc>
          <w:tcPr>
            <w:tcW w:w="254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10</w:t>
            </w:r>
          </w:p>
        </w:tc>
      </w:tr>
      <w:tr w:rsidR="0080154F" w:rsidRPr="0080154F" w:rsidTr="008015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rPr>
                <w:rFonts w:ascii="Calibri" w:eastAsia="Times New Roman" w:hAnsi="Calibri" w:cs="Calibri"/>
                <w:color w:val="000000"/>
                <w:lang w:eastAsia="pt-BR"/>
              </w:rPr>
            </w:pPr>
            <w:r w:rsidRPr="0080154F">
              <w:rPr>
                <w:rFonts w:ascii="Calibri" w:eastAsia="Times New Roman" w:hAnsi="Calibri" w:cs="Calibri"/>
                <w:color w:val="000000"/>
                <w:lang w:eastAsia="pt-BR"/>
              </w:rPr>
              <w:t>7.16</w:t>
            </w:r>
          </w:p>
        </w:tc>
        <w:tc>
          <w:tcPr>
            <w:tcW w:w="160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3%</w:t>
            </w:r>
          </w:p>
        </w:tc>
        <w:tc>
          <w:tcPr>
            <w:tcW w:w="254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6</w:t>
            </w:r>
          </w:p>
        </w:tc>
      </w:tr>
      <w:tr w:rsidR="0080154F" w:rsidRPr="0080154F" w:rsidTr="008015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rPr>
                <w:rFonts w:ascii="Calibri" w:eastAsia="Times New Roman" w:hAnsi="Calibri" w:cs="Calibri"/>
                <w:color w:val="000000"/>
                <w:lang w:eastAsia="pt-BR"/>
              </w:rPr>
            </w:pPr>
            <w:r w:rsidRPr="0080154F">
              <w:rPr>
                <w:rFonts w:ascii="Calibri" w:eastAsia="Times New Roman" w:hAnsi="Calibri" w:cs="Calibri"/>
                <w:color w:val="000000"/>
                <w:lang w:eastAsia="pt-BR"/>
              </w:rPr>
              <w:t>11.02</w:t>
            </w:r>
          </w:p>
        </w:tc>
        <w:tc>
          <w:tcPr>
            <w:tcW w:w="160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3%</w:t>
            </w:r>
          </w:p>
        </w:tc>
        <w:tc>
          <w:tcPr>
            <w:tcW w:w="254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6</w:t>
            </w:r>
          </w:p>
        </w:tc>
      </w:tr>
      <w:tr w:rsidR="0080154F" w:rsidRPr="0080154F" w:rsidTr="008015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rPr>
                <w:rFonts w:ascii="Calibri" w:eastAsia="Times New Roman" w:hAnsi="Calibri" w:cs="Calibri"/>
                <w:color w:val="000000"/>
                <w:lang w:eastAsia="pt-BR"/>
              </w:rPr>
            </w:pPr>
            <w:r w:rsidRPr="0080154F">
              <w:rPr>
                <w:rFonts w:ascii="Calibri" w:eastAsia="Times New Roman" w:hAnsi="Calibri" w:cs="Calibri"/>
                <w:color w:val="000000"/>
                <w:lang w:eastAsia="pt-BR"/>
              </w:rPr>
              <w:t>13.05</w:t>
            </w:r>
          </w:p>
        </w:tc>
        <w:tc>
          <w:tcPr>
            <w:tcW w:w="160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2%</w:t>
            </w:r>
          </w:p>
        </w:tc>
        <w:tc>
          <w:tcPr>
            <w:tcW w:w="254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8</w:t>
            </w:r>
          </w:p>
        </w:tc>
      </w:tr>
      <w:tr w:rsidR="0080154F" w:rsidRPr="0080154F" w:rsidTr="008015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rPr>
                <w:rFonts w:ascii="Calibri" w:eastAsia="Times New Roman" w:hAnsi="Calibri" w:cs="Calibri"/>
                <w:color w:val="000000"/>
                <w:lang w:eastAsia="pt-BR"/>
              </w:rPr>
            </w:pPr>
            <w:r w:rsidRPr="0080154F">
              <w:rPr>
                <w:rFonts w:ascii="Calibri" w:eastAsia="Times New Roman" w:hAnsi="Calibri" w:cs="Calibri"/>
                <w:color w:val="000000"/>
                <w:lang w:eastAsia="pt-BR"/>
              </w:rPr>
              <w:t>14.05</w:t>
            </w:r>
          </w:p>
        </w:tc>
        <w:tc>
          <w:tcPr>
            <w:tcW w:w="160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3%</w:t>
            </w:r>
          </w:p>
        </w:tc>
        <w:tc>
          <w:tcPr>
            <w:tcW w:w="254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8</w:t>
            </w:r>
          </w:p>
        </w:tc>
      </w:tr>
      <w:tr w:rsidR="0080154F" w:rsidRPr="0080154F" w:rsidTr="008015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rPr>
                <w:rFonts w:ascii="Calibri" w:eastAsia="Times New Roman" w:hAnsi="Calibri" w:cs="Calibri"/>
                <w:color w:val="000000"/>
                <w:lang w:eastAsia="pt-BR"/>
              </w:rPr>
            </w:pPr>
            <w:r w:rsidRPr="0080154F">
              <w:rPr>
                <w:rFonts w:ascii="Calibri" w:eastAsia="Times New Roman" w:hAnsi="Calibri" w:cs="Calibri"/>
                <w:color w:val="000000"/>
                <w:lang w:eastAsia="pt-BR"/>
              </w:rPr>
              <w:t>14.14</w:t>
            </w:r>
          </w:p>
        </w:tc>
        <w:tc>
          <w:tcPr>
            <w:tcW w:w="160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3%</w:t>
            </w:r>
          </w:p>
        </w:tc>
        <w:tc>
          <w:tcPr>
            <w:tcW w:w="254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8</w:t>
            </w:r>
          </w:p>
        </w:tc>
      </w:tr>
      <w:tr w:rsidR="0080154F" w:rsidRPr="0080154F" w:rsidTr="008015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rPr>
                <w:rFonts w:ascii="Calibri" w:eastAsia="Times New Roman" w:hAnsi="Calibri" w:cs="Calibri"/>
                <w:color w:val="000000"/>
                <w:lang w:eastAsia="pt-BR"/>
              </w:rPr>
            </w:pPr>
            <w:r w:rsidRPr="0080154F">
              <w:rPr>
                <w:rFonts w:ascii="Calibri" w:eastAsia="Times New Roman" w:hAnsi="Calibri" w:cs="Calibri"/>
                <w:color w:val="000000"/>
                <w:lang w:eastAsia="pt-BR"/>
              </w:rPr>
              <w:t>16.01</w:t>
            </w:r>
          </w:p>
        </w:tc>
        <w:tc>
          <w:tcPr>
            <w:tcW w:w="160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3%</w:t>
            </w:r>
          </w:p>
        </w:tc>
        <w:tc>
          <w:tcPr>
            <w:tcW w:w="254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10</w:t>
            </w:r>
          </w:p>
        </w:tc>
      </w:tr>
      <w:tr w:rsidR="0080154F" w:rsidRPr="0080154F" w:rsidTr="008015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rPr>
                <w:rFonts w:ascii="Calibri" w:eastAsia="Times New Roman" w:hAnsi="Calibri" w:cs="Calibri"/>
                <w:color w:val="000000"/>
                <w:lang w:eastAsia="pt-BR"/>
              </w:rPr>
            </w:pPr>
            <w:r w:rsidRPr="0080154F">
              <w:rPr>
                <w:rFonts w:ascii="Calibri" w:eastAsia="Times New Roman" w:hAnsi="Calibri" w:cs="Calibri"/>
                <w:color w:val="000000"/>
                <w:lang w:eastAsia="pt-BR"/>
              </w:rPr>
              <w:t>16.02</w:t>
            </w:r>
          </w:p>
        </w:tc>
        <w:tc>
          <w:tcPr>
            <w:tcW w:w="160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3%</w:t>
            </w:r>
          </w:p>
        </w:tc>
        <w:tc>
          <w:tcPr>
            <w:tcW w:w="254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10</w:t>
            </w:r>
          </w:p>
        </w:tc>
      </w:tr>
      <w:tr w:rsidR="0080154F" w:rsidRPr="0080154F" w:rsidTr="008015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rPr>
                <w:rFonts w:ascii="Calibri" w:eastAsia="Times New Roman" w:hAnsi="Calibri" w:cs="Calibri"/>
                <w:color w:val="000000"/>
                <w:lang w:eastAsia="pt-BR"/>
              </w:rPr>
            </w:pPr>
            <w:r w:rsidRPr="0080154F">
              <w:rPr>
                <w:rFonts w:ascii="Calibri" w:eastAsia="Times New Roman" w:hAnsi="Calibri" w:cs="Calibri"/>
                <w:color w:val="000000"/>
                <w:lang w:eastAsia="pt-BR"/>
              </w:rPr>
              <w:t>17.25</w:t>
            </w:r>
          </w:p>
        </w:tc>
        <w:tc>
          <w:tcPr>
            <w:tcW w:w="160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3%</w:t>
            </w:r>
          </w:p>
        </w:tc>
        <w:tc>
          <w:tcPr>
            <w:tcW w:w="254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10</w:t>
            </w:r>
          </w:p>
        </w:tc>
      </w:tr>
      <w:tr w:rsidR="0080154F" w:rsidRPr="0080154F" w:rsidTr="008015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rPr>
                <w:rFonts w:ascii="Calibri" w:eastAsia="Times New Roman" w:hAnsi="Calibri" w:cs="Calibri"/>
                <w:color w:val="000000"/>
                <w:lang w:eastAsia="pt-BR"/>
              </w:rPr>
            </w:pPr>
            <w:r w:rsidRPr="0080154F">
              <w:rPr>
                <w:rFonts w:ascii="Calibri" w:eastAsia="Times New Roman" w:hAnsi="Calibri" w:cs="Calibri"/>
                <w:color w:val="000000"/>
                <w:lang w:eastAsia="pt-BR"/>
              </w:rPr>
              <w:t>25.02</w:t>
            </w:r>
          </w:p>
        </w:tc>
        <w:tc>
          <w:tcPr>
            <w:tcW w:w="160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3%</w:t>
            </w:r>
          </w:p>
        </w:tc>
        <w:tc>
          <w:tcPr>
            <w:tcW w:w="254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x</w:t>
            </w:r>
          </w:p>
        </w:tc>
      </w:tr>
      <w:tr w:rsidR="0080154F" w:rsidRPr="0080154F" w:rsidTr="0080154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rPr>
                <w:rFonts w:ascii="Calibri" w:eastAsia="Times New Roman" w:hAnsi="Calibri" w:cs="Calibri"/>
                <w:color w:val="000000"/>
                <w:lang w:eastAsia="pt-BR"/>
              </w:rPr>
            </w:pPr>
            <w:r w:rsidRPr="0080154F">
              <w:rPr>
                <w:rFonts w:ascii="Calibri" w:eastAsia="Times New Roman" w:hAnsi="Calibri" w:cs="Calibri"/>
                <w:color w:val="000000"/>
                <w:lang w:eastAsia="pt-BR"/>
              </w:rPr>
              <w:t>25.05</w:t>
            </w:r>
          </w:p>
        </w:tc>
        <w:tc>
          <w:tcPr>
            <w:tcW w:w="160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3%</w:t>
            </w:r>
          </w:p>
        </w:tc>
        <w:tc>
          <w:tcPr>
            <w:tcW w:w="2540" w:type="dxa"/>
            <w:tcBorders>
              <w:top w:val="nil"/>
              <w:left w:val="nil"/>
              <w:bottom w:val="single" w:sz="4" w:space="0" w:color="auto"/>
              <w:right w:val="single" w:sz="4" w:space="0" w:color="auto"/>
            </w:tcBorders>
            <w:shd w:val="clear" w:color="auto" w:fill="auto"/>
            <w:noWrap/>
            <w:vAlign w:val="bottom"/>
            <w:hideMark/>
          </w:tcPr>
          <w:p w:rsidR="0080154F" w:rsidRPr="0080154F" w:rsidRDefault="0080154F" w:rsidP="0080154F">
            <w:pPr>
              <w:spacing w:after="0" w:line="240" w:lineRule="auto"/>
              <w:jc w:val="center"/>
              <w:rPr>
                <w:rFonts w:ascii="Calibri" w:eastAsia="Times New Roman" w:hAnsi="Calibri" w:cs="Calibri"/>
                <w:color w:val="000000"/>
                <w:lang w:eastAsia="pt-BR"/>
              </w:rPr>
            </w:pPr>
            <w:r w:rsidRPr="0080154F">
              <w:rPr>
                <w:rFonts w:ascii="Calibri" w:eastAsia="Times New Roman" w:hAnsi="Calibri" w:cs="Calibri"/>
                <w:color w:val="000000"/>
                <w:lang w:eastAsia="pt-BR"/>
              </w:rPr>
              <w:t>6</w:t>
            </w:r>
          </w:p>
        </w:tc>
      </w:tr>
    </w:tbl>
    <w:p w:rsidR="00680BFB" w:rsidRDefault="00680BFB" w:rsidP="00680BFB">
      <w:pPr>
        <w:jc w:val="both"/>
      </w:pPr>
    </w:p>
    <w:p w:rsidR="007F3A4F" w:rsidRDefault="007F3A4F" w:rsidP="00680BFB">
      <w:pPr>
        <w:jc w:val="both"/>
      </w:pPr>
      <w:r w:rsidRPr="0011608E">
        <w:rPr>
          <w:b/>
        </w:rPr>
        <w:t>Art. 5º</w:t>
      </w:r>
      <w:r>
        <w:t xml:space="preserve"> O Artigo 47 da Lei Complementar nº 588/2011, fica acrescido do seguinte Paragrafo</w:t>
      </w:r>
      <w:r w:rsidR="0080154F">
        <w:t xml:space="preserve">: </w:t>
      </w:r>
    </w:p>
    <w:p w:rsidR="0011608E" w:rsidRDefault="0011608E" w:rsidP="007F3A4F">
      <w:pPr>
        <w:ind w:left="1134"/>
        <w:jc w:val="both"/>
        <w:rPr>
          <w:rFonts w:cstheme="minorHAnsi"/>
          <w:b/>
        </w:rPr>
      </w:pPr>
    </w:p>
    <w:p w:rsidR="007F3A4F" w:rsidRDefault="007F3A4F" w:rsidP="007F3A4F">
      <w:pPr>
        <w:ind w:left="1134"/>
        <w:jc w:val="both"/>
      </w:pPr>
      <w:r w:rsidRPr="0011608E">
        <w:rPr>
          <w:rFonts w:cstheme="minorHAnsi"/>
          <w:b/>
        </w:rPr>
        <w:t>§ 3º</w:t>
      </w:r>
      <w:r>
        <w:rPr>
          <w:rFonts w:cstheme="minorHAnsi"/>
        </w:rPr>
        <w:t xml:space="preserve"> </w:t>
      </w:r>
      <w:r w:rsidRPr="007F3A4F">
        <w:rPr>
          <w:rFonts w:cstheme="minorHAnsi"/>
        </w:rPr>
        <w:t>O vencimento do Imposto Sobre Serviços de Qualquer Natureza se dará</w:t>
      </w:r>
      <w:r>
        <w:rPr>
          <w:rFonts w:cstheme="minorHAnsi"/>
        </w:rPr>
        <w:t xml:space="preserve"> </w:t>
      </w:r>
      <w:r w:rsidRPr="007F3A4F">
        <w:rPr>
          <w:rFonts w:cstheme="minorHAnsi"/>
        </w:rPr>
        <w:t>no dia 10 do mês subsequente ao mês em que ocorreu o fato gerador.</w:t>
      </w:r>
    </w:p>
    <w:p w:rsidR="007F3A4F" w:rsidRDefault="007F3A4F" w:rsidP="00680BFB">
      <w:pPr>
        <w:jc w:val="both"/>
      </w:pPr>
    </w:p>
    <w:p w:rsidR="007F3A4F" w:rsidRDefault="0080154F" w:rsidP="00680BFB">
      <w:pPr>
        <w:jc w:val="both"/>
      </w:pPr>
      <w:r w:rsidRPr="0011608E">
        <w:rPr>
          <w:b/>
        </w:rPr>
        <w:t>Art.</w:t>
      </w:r>
      <w:r w:rsidR="007F3A4F" w:rsidRPr="0011608E">
        <w:rPr>
          <w:b/>
        </w:rPr>
        <w:t>6</w:t>
      </w:r>
      <w:r w:rsidR="0011608E" w:rsidRPr="0011608E">
        <w:rPr>
          <w:b/>
        </w:rPr>
        <w:t>º</w:t>
      </w:r>
      <w:r w:rsidR="0011608E">
        <w:t xml:space="preserve"> O artigo 56 da Lei Complementar nº 588/2011, passa a viger com as seguintes alterações</w:t>
      </w:r>
      <w:r w:rsidR="007F3A4F">
        <w:t>:</w:t>
      </w:r>
    </w:p>
    <w:p w:rsidR="007F3A4F" w:rsidRDefault="0011608E" w:rsidP="007F3A4F">
      <w:pPr>
        <w:ind w:left="1134"/>
        <w:jc w:val="both"/>
      </w:pPr>
      <w:r w:rsidRPr="0011608E">
        <w:rPr>
          <w:b/>
        </w:rPr>
        <w:t>Art. 56.</w:t>
      </w:r>
      <w:r>
        <w:t xml:space="preserve"> </w:t>
      </w:r>
      <w:r w:rsidR="0080154F">
        <w:t xml:space="preserve">O Imposto Sobre Serviços de Qualquer Natureza não será objeto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mínima de 2% (dois por cento), exceto para os serviços a que se referem os subitens 7.02, 7.05 e 16.01 da lista de serviços desta Lei Complementar. </w:t>
      </w:r>
    </w:p>
    <w:p w:rsidR="00F63F6D" w:rsidRDefault="00F63F6D" w:rsidP="007F3A4F">
      <w:pPr>
        <w:ind w:left="1134"/>
        <w:jc w:val="both"/>
      </w:pPr>
      <w:r>
        <w:rPr>
          <w:noProof/>
          <w:lang w:eastAsia="pt-BR"/>
        </w:rPr>
        <w:lastRenderedPageBreak/>
        <w:drawing>
          <wp:inline distT="0" distB="0" distL="0" distR="0">
            <wp:extent cx="5400040" cy="1308581"/>
            <wp:effectExtent l="19050" t="0" r="0" b="0"/>
            <wp:docPr id="13" name="Imagem 2" descr="C:\Users\engenharia\Desktop\DIAMANTE DO SUL 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ngenharia\Desktop\DIAMANTE DO SUL NOVA.jpg"/>
                    <pic:cNvPicPr>
                      <a:picLocks noChangeAspect="1" noChangeArrowheads="1"/>
                    </pic:cNvPicPr>
                  </pic:nvPicPr>
                  <pic:blipFill>
                    <a:blip r:embed="rId5" cstate="print"/>
                    <a:srcRect/>
                    <a:stretch>
                      <a:fillRect/>
                    </a:stretch>
                  </pic:blipFill>
                  <pic:spPr bwMode="auto">
                    <a:xfrm>
                      <a:off x="0" y="0"/>
                      <a:ext cx="5400040" cy="1308581"/>
                    </a:xfrm>
                    <a:prstGeom prst="rect">
                      <a:avLst/>
                    </a:prstGeom>
                    <a:noFill/>
                    <a:ln w="9525">
                      <a:noFill/>
                      <a:miter lim="800000"/>
                      <a:headEnd/>
                      <a:tailEnd/>
                    </a:ln>
                  </pic:spPr>
                </pic:pic>
              </a:graphicData>
            </a:graphic>
          </wp:inline>
        </w:drawing>
      </w:r>
    </w:p>
    <w:p w:rsidR="007F3A4F" w:rsidRDefault="0080154F" w:rsidP="00680BFB">
      <w:pPr>
        <w:jc w:val="both"/>
      </w:pPr>
      <w:r w:rsidRPr="0011608E">
        <w:rPr>
          <w:b/>
        </w:rPr>
        <w:t xml:space="preserve">Art. </w:t>
      </w:r>
      <w:r w:rsidR="007F3A4F" w:rsidRPr="0011608E">
        <w:rPr>
          <w:b/>
        </w:rPr>
        <w:t>7</w:t>
      </w:r>
      <w:r w:rsidRPr="0011608E">
        <w:rPr>
          <w:b/>
        </w:rPr>
        <w:t>º</w:t>
      </w:r>
      <w:r>
        <w:t xml:space="preserve"> Revogam-se as disposições em sentido contrário. </w:t>
      </w:r>
    </w:p>
    <w:p w:rsidR="00680BFB" w:rsidRDefault="0080154F" w:rsidP="00680BFB">
      <w:pPr>
        <w:jc w:val="both"/>
      </w:pPr>
      <w:r w:rsidRPr="0011608E">
        <w:rPr>
          <w:b/>
        </w:rPr>
        <w:t xml:space="preserve">Art. </w:t>
      </w:r>
      <w:r w:rsidR="007F3A4F" w:rsidRPr="0011608E">
        <w:rPr>
          <w:b/>
        </w:rPr>
        <w:t>8</w:t>
      </w:r>
      <w:r w:rsidRPr="0011608E">
        <w:rPr>
          <w:b/>
        </w:rPr>
        <w:t>º</w:t>
      </w:r>
      <w:r>
        <w:t xml:space="preserve"> Esta Lei Complementar entra em vigor no exercício financeiro do ano de 201</w:t>
      </w:r>
      <w:r w:rsidR="007F3A4F">
        <w:t>9</w:t>
      </w:r>
      <w:r>
        <w:t xml:space="preserve"> e após 90 (noventa) dias da data de sua publicação.</w:t>
      </w:r>
    </w:p>
    <w:p w:rsidR="0011608E" w:rsidRDefault="0011608E" w:rsidP="00680BFB">
      <w:pPr>
        <w:jc w:val="both"/>
      </w:pPr>
    </w:p>
    <w:p w:rsidR="0011608E" w:rsidRDefault="0011608E" w:rsidP="00680BFB">
      <w:pPr>
        <w:jc w:val="both"/>
      </w:pPr>
      <w:bookmarkStart w:id="0" w:name="_GoBack"/>
      <w:bookmarkEnd w:id="0"/>
    </w:p>
    <w:p w:rsidR="0011608E" w:rsidRDefault="004C4587" w:rsidP="0011608E">
      <w:pPr>
        <w:tabs>
          <w:tab w:val="left" w:pos="0"/>
        </w:tabs>
        <w:jc w:val="center"/>
      </w:pPr>
      <w:r>
        <w:t xml:space="preserve">Gabinete do Prefeito Municipal de </w:t>
      </w:r>
      <w:r w:rsidR="0011608E">
        <w:t xml:space="preserve">Diamante do Sul, PR, </w:t>
      </w:r>
      <w:r>
        <w:t>em 18</w:t>
      </w:r>
      <w:r w:rsidR="0011608E">
        <w:t xml:space="preserve"> de </w:t>
      </w:r>
      <w:r>
        <w:t>abril</w:t>
      </w:r>
      <w:r w:rsidR="0011608E">
        <w:t xml:space="preserve"> de 2018.</w:t>
      </w:r>
    </w:p>
    <w:p w:rsidR="0011608E" w:rsidRDefault="0011608E" w:rsidP="0011608E">
      <w:pPr>
        <w:tabs>
          <w:tab w:val="left" w:pos="0"/>
        </w:tabs>
        <w:jc w:val="center"/>
      </w:pPr>
    </w:p>
    <w:p w:rsidR="0011608E" w:rsidRDefault="0011608E" w:rsidP="0011608E">
      <w:pPr>
        <w:tabs>
          <w:tab w:val="left" w:pos="0"/>
        </w:tabs>
        <w:jc w:val="center"/>
        <w:rPr>
          <w:b/>
        </w:rPr>
      </w:pPr>
      <w:r>
        <w:rPr>
          <w:b/>
        </w:rPr>
        <w:t>F</w:t>
      </w:r>
      <w:r w:rsidRPr="00AD7F00">
        <w:rPr>
          <w:b/>
        </w:rPr>
        <w:t>ERNANDO MAXIMILIANO RISSO</w:t>
      </w:r>
    </w:p>
    <w:p w:rsidR="0011608E" w:rsidRDefault="0011608E" w:rsidP="0011608E">
      <w:pPr>
        <w:tabs>
          <w:tab w:val="left" w:pos="0"/>
        </w:tabs>
        <w:jc w:val="center"/>
        <w:rPr>
          <w:b/>
        </w:rPr>
      </w:pPr>
      <w:r>
        <w:rPr>
          <w:b/>
        </w:rPr>
        <w:t>Prefeito Municipal</w:t>
      </w:r>
    </w:p>
    <w:p w:rsidR="0011608E" w:rsidRDefault="0011608E" w:rsidP="00680BFB">
      <w:pPr>
        <w:jc w:val="both"/>
      </w:pPr>
    </w:p>
    <w:sectPr w:rsidR="0011608E" w:rsidSect="004C4C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D7F00"/>
    <w:rsid w:val="000B4A22"/>
    <w:rsid w:val="0011608E"/>
    <w:rsid w:val="002E197B"/>
    <w:rsid w:val="00445C74"/>
    <w:rsid w:val="004C4587"/>
    <w:rsid w:val="004C4CF0"/>
    <w:rsid w:val="00680BFB"/>
    <w:rsid w:val="007F3A4F"/>
    <w:rsid w:val="0080154F"/>
    <w:rsid w:val="00802881"/>
    <w:rsid w:val="00A56C3F"/>
    <w:rsid w:val="00AD7F00"/>
    <w:rsid w:val="00B822FF"/>
    <w:rsid w:val="00BB5A8E"/>
    <w:rsid w:val="00DC70F7"/>
    <w:rsid w:val="00F63F6D"/>
    <w:rsid w:val="00F65D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CF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F3A4F"/>
    <w:rPr>
      <w:color w:val="808080"/>
    </w:rPr>
  </w:style>
  <w:style w:type="paragraph" w:styleId="Textodebalo">
    <w:name w:val="Balloon Text"/>
    <w:basedOn w:val="Normal"/>
    <w:link w:val="TextodebaloChar"/>
    <w:uiPriority w:val="99"/>
    <w:semiHidden/>
    <w:unhideWhenUsed/>
    <w:rsid w:val="00F63F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3F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97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984</Words>
  <Characters>5318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RH-DSL</cp:lastModifiedBy>
  <cp:revision>2</cp:revision>
  <dcterms:created xsi:type="dcterms:W3CDTF">2018-05-05T18:43:00Z</dcterms:created>
  <dcterms:modified xsi:type="dcterms:W3CDTF">2018-05-05T18:43:00Z</dcterms:modified>
</cp:coreProperties>
</file>